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C4F57" w14:textId="77777777" w:rsidR="00B76192" w:rsidRPr="00E2707E" w:rsidRDefault="00751A1F" w:rsidP="00B76192">
      <w:pPr>
        <w:spacing w:before="240" w:after="100"/>
        <w:rPr>
          <w:rFonts w:cs="Arial"/>
          <w:b/>
          <w:bCs/>
          <w:smallCaps/>
          <w:sz w:val="32"/>
          <w:szCs w:val="22"/>
        </w:rPr>
      </w:pPr>
      <w:r w:rsidRPr="00E2707E">
        <w:rPr>
          <w:rFonts w:cs="Arial"/>
          <w:b/>
          <w:bCs/>
          <w:smallCaps/>
          <w:sz w:val="32"/>
          <w:szCs w:val="22"/>
        </w:rPr>
        <w:t>Housing Trends</w:t>
      </w:r>
    </w:p>
    <w:p w14:paraId="66ECA1AF" w14:textId="1D5ED5FD" w:rsidR="00B76192" w:rsidRPr="00B76192" w:rsidRDefault="00B76192" w:rsidP="00B76192">
      <w:pPr>
        <w:spacing w:after="240"/>
        <w:rPr>
          <w:rFonts w:cs="Arial"/>
          <w:sz w:val="22"/>
          <w:szCs w:val="22"/>
        </w:rPr>
      </w:pPr>
      <w:r w:rsidRPr="00B76192">
        <w:rPr>
          <w:rFonts w:cs="Arial"/>
          <w:sz w:val="22"/>
          <w:szCs w:val="22"/>
        </w:rPr>
        <w:t xml:space="preserve">Housing is an important need because it intersects with many other aspects of daily life needed for success. A home is the primary place for family life, relaxation from work or school, and an asset that builds financial wealth and stability. When families lack stable housing, the entire family suffers. Access to safe and affordable housing continues to be a number one need in </w:t>
      </w:r>
      <w:r w:rsidR="00B06FBC">
        <w:rPr>
          <w:rFonts w:cs="Arial"/>
          <w:sz w:val="22"/>
          <w:szCs w:val="22"/>
        </w:rPr>
        <w:t>Linn County</w:t>
      </w:r>
      <w:r w:rsidRPr="00B76192">
        <w:rPr>
          <w:rFonts w:cs="Arial"/>
          <w:sz w:val="22"/>
          <w:szCs w:val="22"/>
        </w:rPr>
        <w:t>, based on United Way’s 2-1-1 information and referral. Housing Cost Burden</w:t>
      </w:r>
      <w:r w:rsidRPr="00B76192">
        <w:rPr>
          <w:rStyle w:val="FootnoteReference"/>
          <w:rFonts w:cs="Arial"/>
          <w:sz w:val="22"/>
          <w:szCs w:val="22"/>
        </w:rPr>
        <w:footnoteReference w:id="1"/>
      </w:r>
      <w:r w:rsidRPr="00B76192">
        <w:rPr>
          <w:rFonts w:cs="Arial"/>
          <w:sz w:val="22"/>
          <w:szCs w:val="22"/>
        </w:rPr>
        <w:t xml:space="preserve"> (HCB) is high in Linn County especially for renters.</w:t>
      </w:r>
    </w:p>
    <w:p w14:paraId="3664BFFE" w14:textId="0B1A25A0" w:rsidR="00E2707E" w:rsidRDefault="00E2707E" w:rsidP="00B76192">
      <w:pPr>
        <w:spacing w:after="240"/>
        <w:rPr>
          <w:rFonts w:cs="Arial"/>
          <w:sz w:val="22"/>
          <w:szCs w:val="22"/>
        </w:rPr>
      </w:pPr>
      <w:r w:rsidRPr="00B76192">
        <w:rPr>
          <w:rFonts w:cs="Arial"/>
          <w:noProof/>
          <w:sz w:val="22"/>
          <w:szCs w:val="22"/>
        </w:rPr>
        <w:drawing>
          <wp:anchor distT="0" distB="0" distL="114300" distR="114300" simplePos="0" relativeHeight="251658240" behindDoc="0" locked="0" layoutInCell="1" allowOverlap="1" wp14:anchorId="7259F11C" wp14:editId="73F025C3">
            <wp:simplePos x="0" y="0"/>
            <wp:positionH relativeFrom="margin">
              <wp:posOffset>457200</wp:posOffset>
            </wp:positionH>
            <wp:positionV relativeFrom="margin">
              <wp:posOffset>4890135</wp:posOffset>
            </wp:positionV>
            <wp:extent cx="4914900" cy="3820795"/>
            <wp:effectExtent l="177800" t="177800" r="393700" b="370205"/>
            <wp:wrapTight wrapText="bothSides">
              <wp:wrapPolygon edited="0">
                <wp:start x="558" y="-1005"/>
                <wp:lineTo x="-781" y="-718"/>
                <wp:lineTo x="-781" y="21970"/>
                <wp:lineTo x="-558" y="22401"/>
                <wp:lineTo x="558" y="23262"/>
                <wp:lineTo x="670" y="23549"/>
                <wp:lineTo x="21767" y="23549"/>
                <wp:lineTo x="21879" y="23262"/>
                <wp:lineTo x="22995" y="22401"/>
                <wp:lineTo x="23219" y="19959"/>
                <wp:lineTo x="23219" y="1292"/>
                <wp:lineTo x="22102" y="-718"/>
                <wp:lineTo x="21879" y="-1005"/>
                <wp:lineTo x="558" y="-100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395" t="2170" r="2073" b="1705"/>
                    <a:stretch/>
                  </pic:blipFill>
                  <pic:spPr bwMode="auto">
                    <a:xfrm>
                      <a:off x="0" y="0"/>
                      <a:ext cx="4914900" cy="3820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192" w:rsidRPr="00B76192">
        <w:rPr>
          <w:rFonts w:cs="Arial"/>
          <w:noProof/>
          <w:sz w:val="22"/>
          <w:szCs w:val="22"/>
        </w:rPr>
        <w:drawing>
          <wp:inline distT="0" distB="0" distL="0" distR="0" wp14:anchorId="1C3F0425" wp14:editId="54B66EFC">
            <wp:extent cx="5943600" cy="2767818"/>
            <wp:effectExtent l="0" t="0" r="25400" b="266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475178">
        <w:rPr>
          <w:rFonts w:cs="Arial"/>
          <w:sz w:val="22"/>
          <w:szCs w:val="22"/>
        </w:rPr>
        <w:t xml:space="preserve">The </w:t>
      </w:r>
      <w:r w:rsidR="00B76192" w:rsidRPr="00B76192">
        <w:rPr>
          <w:rFonts w:cs="Arial"/>
          <w:sz w:val="22"/>
          <w:szCs w:val="22"/>
        </w:rPr>
        <w:t>data</w:t>
      </w:r>
      <w:r w:rsidR="00475178">
        <w:rPr>
          <w:rFonts w:cs="Arial"/>
          <w:sz w:val="22"/>
          <w:szCs w:val="22"/>
        </w:rPr>
        <w:t xml:space="preserve"> shows (in the line graph above and the map below) that</w:t>
      </w:r>
      <w:r w:rsidR="00B76192">
        <w:rPr>
          <w:rFonts w:cs="Arial"/>
          <w:sz w:val="22"/>
          <w:szCs w:val="22"/>
        </w:rPr>
        <w:t xml:space="preserve"> renters are most likely to be</w:t>
      </w:r>
      <w:r w:rsidR="00B76192" w:rsidRPr="00B76192">
        <w:rPr>
          <w:rFonts w:cs="Arial"/>
          <w:sz w:val="22"/>
          <w:szCs w:val="22"/>
        </w:rPr>
        <w:t xml:space="preserve"> housing cost burdened</w:t>
      </w:r>
      <w:r w:rsidR="00B76192">
        <w:rPr>
          <w:rFonts w:cs="Arial"/>
          <w:sz w:val="22"/>
          <w:szCs w:val="22"/>
        </w:rPr>
        <w:t xml:space="preserve">. </w:t>
      </w:r>
    </w:p>
    <w:p w14:paraId="13069DF1" w14:textId="71B36AEE" w:rsidR="00E2707E" w:rsidRDefault="00E2707E" w:rsidP="00B76192">
      <w:pPr>
        <w:spacing w:after="240"/>
        <w:rPr>
          <w:rFonts w:cs="Arial"/>
          <w:sz w:val="22"/>
          <w:szCs w:val="22"/>
        </w:rPr>
      </w:pPr>
    </w:p>
    <w:p w14:paraId="1F0391B0" w14:textId="43593F38" w:rsidR="00B76192" w:rsidRDefault="00B76192" w:rsidP="00B76192">
      <w:pPr>
        <w:spacing w:after="240"/>
        <w:rPr>
          <w:rFonts w:cs="Arial"/>
          <w:sz w:val="22"/>
          <w:szCs w:val="22"/>
        </w:rPr>
      </w:pPr>
      <w:r>
        <w:rPr>
          <w:rFonts w:cs="Arial"/>
          <w:sz w:val="22"/>
          <w:szCs w:val="22"/>
        </w:rPr>
        <w:lastRenderedPageBreak/>
        <w:t>When we look back nearly 30 years</w:t>
      </w:r>
      <w:r w:rsidRPr="00B76192">
        <w:rPr>
          <w:rFonts w:cs="Arial"/>
          <w:sz w:val="22"/>
          <w:szCs w:val="22"/>
        </w:rPr>
        <w:t>, housing cost burden has always been high for renters but has incre</w:t>
      </w:r>
      <w:r>
        <w:rPr>
          <w:rFonts w:cs="Arial"/>
          <w:sz w:val="22"/>
          <w:szCs w:val="22"/>
        </w:rPr>
        <w:t>a</w:t>
      </w:r>
      <w:r w:rsidR="00E2707E">
        <w:rPr>
          <w:rFonts w:cs="Arial"/>
          <w:sz w:val="22"/>
          <w:szCs w:val="22"/>
        </w:rPr>
        <w:t>sed at a rate of 30% since 1990. S</w:t>
      </w:r>
      <w:r w:rsidRPr="00B76192">
        <w:rPr>
          <w:rFonts w:cs="Arial"/>
          <w:sz w:val="22"/>
          <w:szCs w:val="22"/>
          <w:lang w:val="is-IS"/>
        </w:rPr>
        <w:t xml:space="preserve">ince </w:t>
      </w:r>
      <w:r w:rsidR="00B06FBC" w:rsidRPr="00B76192">
        <w:rPr>
          <w:rFonts w:cs="Arial"/>
          <w:sz w:val="22"/>
          <w:szCs w:val="22"/>
          <w:lang w:val="is-IS"/>
        </w:rPr>
        <w:t>2000,</w:t>
      </w:r>
      <w:r w:rsidRPr="00B76192">
        <w:rPr>
          <w:rFonts w:cs="Arial"/>
          <w:sz w:val="22"/>
          <w:szCs w:val="22"/>
          <w:lang w:val="is-IS"/>
        </w:rPr>
        <w:t xml:space="preserve"> </w:t>
      </w:r>
      <w:r>
        <w:rPr>
          <w:rFonts w:cs="Arial"/>
          <w:sz w:val="22"/>
          <w:szCs w:val="22"/>
          <w:lang w:val="is-IS"/>
        </w:rPr>
        <w:t>housing cost burden has steadily increased</w:t>
      </w:r>
      <w:r w:rsidR="00E2707E">
        <w:rPr>
          <w:rFonts w:cs="Arial"/>
          <w:sz w:val="22"/>
          <w:szCs w:val="22"/>
          <w:lang w:val="is-IS"/>
        </w:rPr>
        <w:t xml:space="preserve"> for renters</w:t>
      </w:r>
      <w:r>
        <w:rPr>
          <w:rFonts w:cs="Arial"/>
          <w:sz w:val="22"/>
          <w:szCs w:val="22"/>
          <w:lang w:val="is-IS"/>
        </w:rPr>
        <w:t>.</w:t>
      </w:r>
      <w:r w:rsidRPr="00B76192">
        <w:rPr>
          <w:rFonts w:cs="Arial"/>
          <w:sz w:val="22"/>
          <w:szCs w:val="22"/>
          <w:lang w:val="is-IS"/>
        </w:rPr>
        <w:t xml:space="preserve"> Alternatively, when we look </w:t>
      </w:r>
      <w:r>
        <w:rPr>
          <w:rFonts w:cs="Arial"/>
          <w:sz w:val="22"/>
          <w:szCs w:val="22"/>
          <w:lang w:val="is-IS"/>
        </w:rPr>
        <w:t>at affordability for homeowners,</w:t>
      </w:r>
      <w:r w:rsidRPr="00B76192">
        <w:rPr>
          <w:rFonts w:cs="Arial"/>
          <w:sz w:val="22"/>
          <w:szCs w:val="22"/>
          <w:lang w:val="is-IS"/>
        </w:rPr>
        <w:t xml:space="preserve"> there was a peak of 20% </w:t>
      </w:r>
      <w:r w:rsidR="00E2707E">
        <w:rPr>
          <w:rFonts w:cs="Arial"/>
          <w:sz w:val="22"/>
          <w:szCs w:val="22"/>
          <w:lang w:val="is-IS"/>
        </w:rPr>
        <w:t xml:space="preserve">in 2010 </w:t>
      </w:r>
      <w:r w:rsidRPr="00B76192">
        <w:rPr>
          <w:rFonts w:cs="Arial"/>
          <w:sz w:val="22"/>
          <w:szCs w:val="22"/>
          <w:lang w:val="is-IS"/>
        </w:rPr>
        <w:t xml:space="preserve">as a result of the </w:t>
      </w:r>
      <w:r w:rsidR="00E2707E">
        <w:rPr>
          <w:rFonts w:cs="Arial"/>
          <w:sz w:val="22"/>
          <w:szCs w:val="22"/>
          <w:lang w:val="is-IS"/>
        </w:rPr>
        <w:t>recession, but have more</w:t>
      </w:r>
      <w:r>
        <w:rPr>
          <w:rFonts w:cs="Arial"/>
          <w:sz w:val="22"/>
          <w:szCs w:val="22"/>
          <w:lang w:val="is-IS"/>
        </w:rPr>
        <w:t xml:space="preserve"> recently seen declines in housing cost burden</w:t>
      </w:r>
      <w:r w:rsidR="00B06FBC">
        <w:rPr>
          <w:rStyle w:val="FootnoteReference"/>
          <w:rFonts w:cs="Arial"/>
          <w:sz w:val="22"/>
          <w:szCs w:val="22"/>
          <w:lang w:val="is-IS"/>
        </w:rPr>
        <w:footnoteReference w:id="2"/>
      </w:r>
      <w:r>
        <w:rPr>
          <w:rFonts w:cs="Arial"/>
          <w:sz w:val="22"/>
          <w:szCs w:val="22"/>
          <w:lang w:val="is-IS"/>
        </w:rPr>
        <w:t xml:space="preserve">. </w:t>
      </w:r>
    </w:p>
    <w:p w14:paraId="75023A3D" w14:textId="2A9E646E" w:rsidR="00B76192" w:rsidRPr="00B76192" w:rsidRDefault="00B76192" w:rsidP="00B76192">
      <w:pPr>
        <w:rPr>
          <w:rFonts w:cs="Arial"/>
          <w:sz w:val="22"/>
          <w:szCs w:val="22"/>
        </w:rPr>
      </w:pPr>
      <w:r w:rsidRPr="00C50C99">
        <w:rPr>
          <w:rFonts w:cs="Arial"/>
          <w:b/>
          <w:sz w:val="22"/>
          <w:szCs w:val="22"/>
        </w:rPr>
        <w:t>Housing matters</w:t>
      </w:r>
      <w:r w:rsidRPr="00B76192">
        <w:rPr>
          <w:rFonts w:cs="Arial"/>
          <w:sz w:val="22"/>
          <w:szCs w:val="22"/>
        </w:rPr>
        <w:t>. When quality affordable housing is not accessible, families double up or find poorer quality housing that is more affordable. Worse yet, they can wind up homeless or in temporary shelter. Providing housing</w:t>
      </w:r>
      <w:r w:rsidR="00E2707E">
        <w:rPr>
          <w:rFonts w:cs="Arial"/>
          <w:sz w:val="22"/>
          <w:szCs w:val="22"/>
        </w:rPr>
        <w:t xml:space="preserve"> and resources</w:t>
      </w:r>
      <w:r w:rsidRPr="00B76192">
        <w:rPr>
          <w:rFonts w:cs="Arial"/>
          <w:sz w:val="22"/>
          <w:szCs w:val="22"/>
        </w:rPr>
        <w:t xml:space="preserve"> for unstable, near-homeless, or homeless families is important. Strategies that provide safe, stable, long-term, and supportive housing solutions for families are critical to future success. </w:t>
      </w:r>
    </w:p>
    <w:p w14:paraId="197F8B3B" w14:textId="77777777" w:rsidR="00E2707E" w:rsidRDefault="00E2707E" w:rsidP="00E2707E">
      <w:pPr>
        <w:spacing w:before="240" w:after="100"/>
        <w:rPr>
          <w:rFonts w:cs="Arial"/>
          <w:b/>
          <w:bCs/>
          <w:smallCaps/>
          <w:sz w:val="32"/>
          <w:szCs w:val="22"/>
        </w:rPr>
      </w:pPr>
    </w:p>
    <w:p w14:paraId="084D5E9E" w14:textId="4D0D23E9" w:rsidR="00E2707E" w:rsidRPr="00E2707E" w:rsidRDefault="00E2707E" w:rsidP="00E2707E">
      <w:pPr>
        <w:spacing w:before="240" w:after="100"/>
        <w:rPr>
          <w:rFonts w:cs="Arial"/>
          <w:b/>
          <w:bCs/>
          <w:smallCaps/>
          <w:sz w:val="32"/>
          <w:szCs w:val="22"/>
        </w:rPr>
      </w:pPr>
      <w:r w:rsidRPr="00E2707E">
        <w:rPr>
          <w:rFonts w:cs="Arial"/>
          <w:b/>
          <w:bCs/>
          <w:smallCaps/>
          <w:sz w:val="32"/>
          <w:szCs w:val="22"/>
        </w:rPr>
        <w:t>The Benefits Cliff</w:t>
      </w:r>
    </w:p>
    <w:p w14:paraId="48C74431" w14:textId="153319AF" w:rsidR="00E2707E" w:rsidRPr="00E2707E" w:rsidRDefault="00E2707E" w:rsidP="00E2707E">
      <w:pPr>
        <w:rPr>
          <w:rFonts w:cs="Arial"/>
          <w:sz w:val="20"/>
          <w:szCs w:val="22"/>
        </w:rPr>
      </w:pPr>
      <w:r w:rsidRPr="00E2707E">
        <w:rPr>
          <w:rStyle w:val="tgc"/>
          <w:sz w:val="22"/>
        </w:rPr>
        <w:t>The “</w:t>
      </w:r>
      <w:r w:rsidR="00B06FBC" w:rsidRPr="00B06FBC">
        <w:rPr>
          <w:rStyle w:val="tgc"/>
          <w:b/>
          <w:sz w:val="22"/>
        </w:rPr>
        <w:t>b</w:t>
      </w:r>
      <w:r w:rsidR="00B06FBC">
        <w:rPr>
          <w:rStyle w:val="tgc"/>
          <w:b/>
          <w:bCs/>
          <w:sz w:val="22"/>
        </w:rPr>
        <w:t>enefits cliff</w:t>
      </w:r>
      <w:r w:rsidRPr="00E2707E">
        <w:rPr>
          <w:rStyle w:val="tgc"/>
          <w:sz w:val="22"/>
        </w:rPr>
        <w:t xml:space="preserve">” describes what happens when public </w:t>
      </w:r>
      <w:r w:rsidRPr="00E2707E">
        <w:rPr>
          <w:rStyle w:val="tgc"/>
          <w:bCs/>
          <w:sz w:val="22"/>
        </w:rPr>
        <w:t>benefits</w:t>
      </w:r>
      <w:r w:rsidRPr="00E2707E">
        <w:rPr>
          <w:rStyle w:val="tgc"/>
          <w:sz w:val="22"/>
        </w:rPr>
        <w:t xml:space="preserve"> programs “drop-off” as families </w:t>
      </w:r>
      <w:r w:rsidR="003D5C22">
        <w:rPr>
          <w:rStyle w:val="tgc"/>
          <w:sz w:val="22"/>
        </w:rPr>
        <w:t>earn</w:t>
      </w:r>
      <w:r w:rsidRPr="00E2707E">
        <w:rPr>
          <w:rStyle w:val="tgc"/>
          <w:sz w:val="22"/>
        </w:rPr>
        <w:t xml:space="preserve"> more money. This leads to an abrupt loss of pub</w:t>
      </w:r>
      <w:bookmarkStart w:id="0" w:name="_GoBack"/>
      <w:bookmarkEnd w:id="0"/>
      <w:r w:rsidRPr="00E2707E">
        <w:rPr>
          <w:rStyle w:val="tgc"/>
          <w:sz w:val="22"/>
        </w:rPr>
        <w:t xml:space="preserve">lic </w:t>
      </w:r>
      <w:r w:rsidRPr="00B06FBC">
        <w:rPr>
          <w:rStyle w:val="tgc"/>
          <w:bCs/>
          <w:sz w:val="22"/>
        </w:rPr>
        <w:t>benefits</w:t>
      </w:r>
      <w:r w:rsidRPr="00E2707E">
        <w:rPr>
          <w:rStyle w:val="tgc"/>
          <w:sz w:val="22"/>
        </w:rPr>
        <w:t xml:space="preserve"> that make low-income families worse off. </w:t>
      </w:r>
      <w:r w:rsidR="002158B8" w:rsidRPr="00E2707E">
        <w:rPr>
          <w:rFonts w:cs="Arial"/>
          <w:sz w:val="22"/>
          <w:szCs w:val="22"/>
        </w:rPr>
        <w:t>This is why we often see families reject wages or slightly higher income positions</w:t>
      </w:r>
      <w:r w:rsidR="002158B8">
        <w:rPr>
          <w:rFonts w:cs="Arial"/>
          <w:sz w:val="22"/>
          <w:szCs w:val="22"/>
        </w:rPr>
        <w:t>.</w:t>
      </w:r>
      <w:r w:rsidR="002158B8" w:rsidRPr="00E2707E">
        <w:rPr>
          <w:rStyle w:val="tgc"/>
          <w:sz w:val="22"/>
        </w:rPr>
        <w:t xml:space="preserve"> </w:t>
      </w:r>
      <w:r w:rsidRPr="00E2707E">
        <w:rPr>
          <w:rStyle w:val="tgc"/>
          <w:sz w:val="22"/>
        </w:rPr>
        <w:t xml:space="preserve">The cliff is depicted in the image below. </w:t>
      </w:r>
    </w:p>
    <w:p w14:paraId="323E4EFC" w14:textId="6F9DA3A8" w:rsidR="005A2C6C" w:rsidRPr="00B76192" w:rsidRDefault="00E2707E" w:rsidP="002158B8">
      <w:pPr>
        <w:rPr>
          <w:rFonts w:cs="Arial"/>
          <w:sz w:val="22"/>
          <w:szCs w:val="22"/>
        </w:rPr>
      </w:pPr>
      <w:r w:rsidRPr="00B76192">
        <w:rPr>
          <w:rFonts w:cs="Arial"/>
          <w:noProof/>
          <w:sz w:val="22"/>
          <w:szCs w:val="22"/>
        </w:rPr>
        <w:drawing>
          <wp:inline distT="0" distB="0" distL="0" distR="0" wp14:anchorId="00B34EFD" wp14:editId="79E9F9D4">
            <wp:extent cx="5508783" cy="33598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2446" cy="3362122"/>
                    </a:xfrm>
                    <a:prstGeom prst="rect">
                      <a:avLst/>
                    </a:prstGeom>
                  </pic:spPr>
                </pic:pic>
              </a:graphicData>
            </a:graphic>
          </wp:inline>
        </w:drawing>
      </w:r>
    </w:p>
    <w:p w14:paraId="1B68F1E4" w14:textId="53D1A217" w:rsidR="005A2C6C" w:rsidRDefault="005A2C6C" w:rsidP="005A2C6C">
      <w:pPr>
        <w:pStyle w:val="Caption"/>
        <w:spacing w:before="240" w:after="0"/>
        <w:contextualSpacing/>
        <w:rPr>
          <w:rFonts w:cs="Arial"/>
          <w:b w:val="0"/>
          <w:color w:val="auto"/>
          <w:sz w:val="22"/>
          <w:szCs w:val="22"/>
        </w:rPr>
      </w:pPr>
      <w:r w:rsidRPr="00B76192">
        <w:rPr>
          <w:rFonts w:cs="Arial"/>
          <w:b w:val="0"/>
          <w:color w:val="auto"/>
          <w:sz w:val="22"/>
          <w:szCs w:val="22"/>
        </w:rPr>
        <w:t xml:space="preserve">The result </w:t>
      </w:r>
      <w:r w:rsidR="002158B8">
        <w:rPr>
          <w:rFonts w:cs="Arial"/>
          <w:b w:val="0"/>
          <w:color w:val="auto"/>
          <w:sz w:val="22"/>
          <w:szCs w:val="22"/>
        </w:rPr>
        <w:t xml:space="preserve">of the cliff </w:t>
      </w:r>
      <w:r w:rsidRPr="00B76192">
        <w:rPr>
          <w:rFonts w:cs="Arial"/>
          <w:b w:val="0"/>
          <w:color w:val="auto"/>
          <w:sz w:val="22"/>
          <w:szCs w:val="22"/>
        </w:rPr>
        <w:t xml:space="preserve">is that low-income families become stuck: they still do not meet basic needs, but it is the best they can do unless they receive a significant wage increase. This is why filling gaps in </w:t>
      </w:r>
      <w:r w:rsidR="002158B8">
        <w:rPr>
          <w:rFonts w:cs="Arial"/>
          <w:b w:val="0"/>
          <w:color w:val="auto"/>
          <w:sz w:val="22"/>
          <w:szCs w:val="22"/>
        </w:rPr>
        <w:t>needs</w:t>
      </w:r>
      <w:r w:rsidRPr="00B76192">
        <w:rPr>
          <w:rFonts w:cs="Arial"/>
          <w:b w:val="0"/>
          <w:color w:val="auto"/>
          <w:sz w:val="22"/>
          <w:szCs w:val="22"/>
        </w:rPr>
        <w:t xml:space="preserve"> is critical in helping </w:t>
      </w:r>
      <w:r w:rsidR="00B06FBC">
        <w:rPr>
          <w:rFonts w:cs="Arial"/>
          <w:b w:val="0"/>
          <w:color w:val="auto"/>
          <w:sz w:val="22"/>
          <w:szCs w:val="22"/>
        </w:rPr>
        <w:t xml:space="preserve">to </w:t>
      </w:r>
      <w:r w:rsidRPr="00B76192">
        <w:rPr>
          <w:rFonts w:cs="Arial"/>
          <w:b w:val="0"/>
          <w:color w:val="auto"/>
          <w:sz w:val="22"/>
          <w:szCs w:val="22"/>
        </w:rPr>
        <w:t>reduce the volatility created when families no longer qualify for critical benefits.</w:t>
      </w:r>
      <w:r w:rsidR="002158B8">
        <w:rPr>
          <w:rFonts w:cs="Arial"/>
          <w:b w:val="0"/>
          <w:color w:val="auto"/>
          <w:sz w:val="22"/>
          <w:szCs w:val="22"/>
        </w:rPr>
        <w:t xml:space="preserve"> Housing is one of those criti</w:t>
      </w:r>
      <w:r w:rsidR="004D2428">
        <w:rPr>
          <w:rFonts w:cs="Arial"/>
          <w:b w:val="0"/>
          <w:color w:val="auto"/>
          <w:sz w:val="22"/>
          <w:szCs w:val="22"/>
        </w:rPr>
        <w:t>cal needs.</w:t>
      </w:r>
      <w:r w:rsidR="00A6463E">
        <w:rPr>
          <w:rFonts w:cs="Arial"/>
          <w:b w:val="0"/>
          <w:color w:val="auto"/>
          <w:sz w:val="22"/>
          <w:szCs w:val="22"/>
        </w:rPr>
        <w:t xml:space="preserve"> </w:t>
      </w:r>
      <w:r w:rsidR="004D2428">
        <w:rPr>
          <w:rFonts w:cs="Arial"/>
          <w:b w:val="0"/>
          <w:color w:val="auto"/>
          <w:sz w:val="22"/>
          <w:szCs w:val="22"/>
        </w:rPr>
        <w:t xml:space="preserve">If a family has stable and affordable housing </w:t>
      </w:r>
      <w:r w:rsidR="00672180">
        <w:rPr>
          <w:rFonts w:cs="Arial"/>
          <w:b w:val="0"/>
          <w:color w:val="auto"/>
          <w:sz w:val="22"/>
          <w:szCs w:val="22"/>
        </w:rPr>
        <w:t>low-income</w:t>
      </w:r>
      <w:r w:rsidR="004D2428">
        <w:rPr>
          <w:rFonts w:cs="Arial"/>
          <w:b w:val="0"/>
          <w:color w:val="auto"/>
          <w:sz w:val="22"/>
          <w:szCs w:val="22"/>
        </w:rPr>
        <w:t xml:space="preserve"> families </w:t>
      </w:r>
      <w:r w:rsidR="00B06FBC">
        <w:rPr>
          <w:rFonts w:cs="Arial"/>
          <w:b w:val="0"/>
          <w:color w:val="auto"/>
          <w:sz w:val="22"/>
          <w:szCs w:val="22"/>
        </w:rPr>
        <w:t>have one less basic need to worry about their housing fits into their budget</w:t>
      </w:r>
      <w:r w:rsidR="004D2428">
        <w:rPr>
          <w:rFonts w:cs="Arial"/>
          <w:b w:val="0"/>
          <w:color w:val="auto"/>
          <w:sz w:val="22"/>
          <w:szCs w:val="22"/>
        </w:rPr>
        <w:t xml:space="preserve">. </w:t>
      </w:r>
      <w:r w:rsidR="00672180">
        <w:rPr>
          <w:rFonts w:cs="Arial"/>
          <w:b w:val="0"/>
          <w:color w:val="auto"/>
          <w:sz w:val="22"/>
          <w:szCs w:val="22"/>
        </w:rPr>
        <w:t>On average, a household in Cedar Rapids spends 44% of their income on housing an</w:t>
      </w:r>
      <w:r w:rsidR="00B06FBC">
        <w:rPr>
          <w:rFonts w:cs="Arial"/>
          <w:b w:val="0"/>
          <w:color w:val="auto"/>
          <w:sz w:val="22"/>
          <w:szCs w:val="22"/>
        </w:rPr>
        <w:t>d</w:t>
      </w:r>
      <w:r w:rsidR="00672180">
        <w:rPr>
          <w:rFonts w:cs="Arial"/>
          <w:b w:val="0"/>
          <w:color w:val="auto"/>
          <w:sz w:val="22"/>
          <w:szCs w:val="22"/>
        </w:rPr>
        <w:t xml:space="preserve"> transportation</w:t>
      </w:r>
      <w:r w:rsidR="00B06FBC">
        <w:rPr>
          <w:rStyle w:val="FootnoteReference"/>
          <w:rFonts w:cs="Arial"/>
          <w:b w:val="0"/>
          <w:color w:val="auto"/>
          <w:sz w:val="22"/>
          <w:szCs w:val="22"/>
        </w:rPr>
        <w:footnoteReference w:id="3"/>
      </w:r>
      <w:r w:rsidR="00672180">
        <w:rPr>
          <w:rFonts w:cs="Arial"/>
          <w:b w:val="0"/>
          <w:color w:val="auto"/>
          <w:sz w:val="22"/>
          <w:szCs w:val="22"/>
        </w:rPr>
        <w:t xml:space="preserve">. If housing is affordable to a family, they are more able to focus on filling other needs to help them succeed and be more able to withstand sharp drop-offs from the benefits cliff. </w:t>
      </w:r>
    </w:p>
    <w:sectPr w:rsidR="005A2C6C" w:rsidSect="00E2707E">
      <w:headerReference w:type="default" r:id="rId11"/>
      <w:pgSz w:w="12240" w:h="15840"/>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B7CA5" w14:textId="77777777" w:rsidR="00A6463E" w:rsidRDefault="00A6463E" w:rsidP="005A2C6C">
      <w:r>
        <w:separator/>
      </w:r>
    </w:p>
  </w:endnote>
  <w:endnote w:type="continuationSeparator" w:id="0">
    <w:p w14:paraId="21CA503B" w14:textId="77777777" w:rsidR="00A6463E" w:rsidRDefault="00A6463E" w:rsidP="005A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B2377" w14:textId="77777777" w:rsidR="00A6463E" w:rsidRDefault="00A6463E" w:rsidP="005A2C6C">
      <w:r>
        <w:separator/>
      </w:r>
    </w:p>
  </w:footnote>
  <w:footnote w:type="continuationSeparator" w:id="0">
    <w:p w14:paraId="28D8EB9F" w14:textId="77777777" w:rsidR="00A6463E" w:rsidRDefault="00A6463E" w:rsidP="005A2C6C">
      <w:r>
        <w:continuationSeparator/>
      </w:r>
    </w:p>
  </w:footnote>
  <w:footnote w:id="1">
    <w:p w14:paraId="501CB975" w14:textId="77777777" w:rsidR="00A6463E" w:rsidRDefault="00A6463E" w:rsidP="00B76192">
      <w:pPr>
        <w:pStyle w:val="FootnoteText"/>
      </w:pPr>
      <w:r>
        <w:rPr>
          <w:rStyle w:val="FootnoteReference"/>
        </w:rPr>
        <w:footnoteRef/>
      </w:r>
      <w:r w:rsidRPr="009E28F9">
        <w:rPr>
          <w:sz w:val="18"/>
        </w:rPr>
        <w:t xml:space="preserve">Housing Cost Burden is a measure of housing affordability. When households are cost burdened, it means they are spending too much on housing. The federal standard for “too much” is 30% of the household’s monthly income. </w:t>
      </w:r>
    </w:p>
  </w:footnote>
  <w:footnote w:id="2">
    <w:p w14:paraId="51DB2DC5" w14:textId="041F0124" w:rsidR="00B06FBC" w:rsidRDefault="00B06FBC">
      <w:pPr>
        <w:pStyle w:val="FootnoteText"/>
      </w:pPr>
      <w:r>
        <w:rPr>
          <w:rStyle w:val="FootnoteReference"/>
        </w:rPr>
        <w:footnoteRef/>
      </w:r>
      <w:r>
        <w:t xml:space="preserve"> </w:t>
      </w:r>
      <w:r w:rsidRPr="00B06FBC">
        <w:rPr>
          <w:rStyle w:val="citationtext"/>
          <w:sz w:val="17"/>
          <w:szCs w:val="17"/>
        </w:rPr>
        <w:t xml:space="preserve">Anthony, Jerry, and Bailey McClellan. "Trends in Housing Affordability in Iowa, 1990-2010." </w:t>
      </w:r>
      <w:r w:rsidRPr="00B06FBC">
        <w:rPr>
          <w:rStyle w:val="citationtext"/>
          <w:i/>
          <w:iCs/>
          <w:sz w:val="17"/>
          <w:szCs w:val="17"/>
        </w:rPr>
        <w:t>University of Iowa</w:t>
      </w:r>
      <w:r w:rsidRPr="00B06FBC">
        <w:rPr>
          <w:rStyle w:val="citationtext"/>
          <w:sz w:val="17"/>
          <w:szCs w:val="17"/>
        </w:rPr>
        <w:t>. Public Policy Center, Aug. 2015. Web. &lt;</w:t>
      </w:r>
      <w:hyperlink r:id="rId1" w:history="1">
        <w:r w:rsidRPr="00B06FBC">
          <w:rPr>
            <w:rStyle w:val="Hyperlink"/>
            <w:rFonts w:cstheme="minorBidi"/>
            <w:sz w:val="17"/>
            <w:szCs w:val="17"/>
          </w:rPr>
          <w:t>http://ppc.uiowa.edu/housing/affordability/iowa</w:t>
        </w:r>
      </w:hyperlink>
      <w:r w:rsidRPr="00B06FBC">
        <w:rPr>
          <w:rStyle w:val="citationtext"/>
          <w:sz w:val="17"/>
          <w:szCs w:val="17"/>
        </w:rPr>
        <w:t>&gt;.</w:t>
      </w:r>
    </w:p>
  </w:footnote>
  <w:footnote w:id="3">
    <w:p w14:paraId="2C4438C7" w14:textId="43C6AC54" w:rsidR="00B06FBC" w:rsidRDefault="00B06FBC">
      <w:pPr>
        <w:pStyle w:val="FootnoteText"/>
      </w:pPr>
      <w:r>
        <w:rPr>
          <w:rStyle w:val="FootnoteReference"/>
        </w:rPr>
        <w:footnoteRef/>
      </w:r>
      <w:r>
        <w:t xml:space="preserve"> </w:t>
      </w:r>
      <w:r w:rsidRPr="004510C3">
        <w:rPr>
          <w:rStyle w:val="citationtext"/>
          <w:rFonts w:cs="Arial"/>
          <w:sz w:val="17"/>
          <w:szCs w:val="17"/>
        </w:rPr>
        <w:t xml:space="preserve">"H+T® Index." </w:t>
      </w:r>
      <w:r w:rsidRPr="004510C3">
        <w:rPr>
          <w:rStyle w:val="citationtext"/>
          <w:rFonts w:cs="Arial"/>
          <w:i/>
          <w:iCs/>
          <w:sz w:val="17"/>
          <w:szCs w:val="17"/>
        </w:rPr>
        <w:t>Welcome to The H+T Affordability Index</w:t>
      </w:r>
      <w:r w:rsidRPr="004510C3">
        <w:rPr>
          <w:rStyle w:val="citationtext"/>
          <w:rFonts w:cs="Arial"/>
          <w:sz w:val="17"/>
          <w:szCs w:val="17"/>
        </w:rPr>
        <w:t xml:space="preserve">. Center for Neighborhood Technology (CNT), </w:t>
      </w:r>
      <w:proofErr w:type="spellStart"/>
      <w:r w:rsidRPr="004510C3">
        <w:rPr>
          <w:rStyle w:val="citationtext"/>
          <w:rFonts w:cs="Arial"/>
          <w:sz w:val="17"/>
          <w:szCs w:val="17"/>
        </w:rPr>
        <w:t>n.d.</w:t>
      </w:r>
      <w:proofErr w:type="spellEnd"/>
      <w:r w:rsidRPr="004510C3">
        <w:rPr>
          <w:rStyle w:val="citationtext"/>
          <w:rFonts w:cs="Arial"/>
          <w:sz w:val="17"/>
          <w:szCs w:val="17"/>
        </w:rPr>
        <w:t xml:space="preserve"> Web. 19 Sept.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C1821" w14:textId="6E4F92D5" w:rsidR="00A6463E" w:rsidRDefault="00A6463E" w:rsidP="00751A1F">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C6C"/>
    <w:rsid w:val="002158B8"/>
    <w:rsid w:val="002B6C27"/>
    <w:rsid w:val="003D5C22"/>
    <w:rsid w:val="00475178"/>
    <w:rsid w:val="004D2428"/>
    <w:rsid w:val="00576223"/>
    <w:rsid w:val="005A2C6C"/>
    <w:rsid w:val="00672180"/>
    <w:rsid w:val="00751A1F"/>
    <w:rsid w:val="009135C9"/>
    <w:rsid w:val="00A6463E"/>
    <w:rsid w:val="00B06FBC"/>
    <w:rsid w:val="00B76192"/>
    <w:rsid w:val="00BC2B24"/>
    <w:rsid w:val="00BE2134"/>
    <w:rsid w:val="00C50C99"/>
    <w:rsid w:val="00D0329A"/>
    <w:rsid w:val="00E27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8C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C6C"/>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A2C6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A2C6C"/>
    <w:rPr>
      <w:rFonts w:ascii="Tahoma" w:hAnsi="Tahoma" w:cs="Tahoma"/>
      <w:sz w:val="16"/>
      <w:szCs w:val="16"/>
    </w:rPr>
  </w:style>
  <w:style w:type="character" w:customStyle="1" w:styleId="BalloonTextChar">
    <w:name w:val="Balloon Text Char"/>
    <w:basedOn w:val="DefaultParagraphFont"/>
    <w:link w:val="BalloonText"/>
    <w:uiPriority w:val="99"/>
    <w:semiHidden/>
    <w:rsid w:val="005A2C6C"/>
    <w:rPr>
      <w:rFonts w:ascii="Tahoma" w:eastAsia="Times New Roman" w:hAnsi="Tahoma" w:cs="Tahoma"/>
      <w:sz w:val="16"/>
      <w:szCs w:val="16"/>
    </w:rPr>
  </w:style>
  <w:style w:type="paragraph" w:styleId="EndnoteText">
    <w:name w:val="endnote text"/>
    <w:basedOn w:val="Normal"/>
    <w:link w:val="EndnoteTextChar"/>
    <w:uiPriority w:val="99"/>
    <w:rsid w:val="005A2C6C"/>
    <w:rPr>
      <w:rFonts w:ascii="Times New Roman" w:hAnsi="Times New Roman"/>
      <w:sz w:val="20"/>
      <w:szCs w:val="20"/>
    </w:rPr>
  </w:style>
  <w:style w:type="character" w:customStyle="1" w:styleId="EndnoteTextChar">
    <w:name w:val="Endnote Text Char"/>
    <w:basedOn w:val="DefaultParagraphFont"/>
    <w:link w:val="EndnoteText"/>
    <w:uiPriority w:val="99"/>
    <w:rsid w:val="005A2C6C"/>
    <w:rPr>
      <w:rFonts w:ascii="Times New Roman" w:eastAsia="Times New Roman" w:hAnsi="Times New Roman" w:cs="Times New Roman"/>
      <w:sz w:val="20"/>
      <w:szCs w:val="20"/>
    </w:rPr>
  </w:style>
  <w:style w:type="character" w:styleId="EndnoteReference">
    <w:name w:val="endnote reference"/>
    <w:basedOn w:val="DefaultParagraphFont"/>
    <w:uiPriority w:val="99"/>
    <w:rsid w:val="005A2C6C"/>
    <w:rPr>
      <w:vertAlign w:val="superscript"/>
    </w:rPr>
  </w:style>
  <w:style w:type="paragraph" w:styleId="FootnoteText">
    <w:name w:val="footnote text"/>
    <w:basedOn w:val="Normal"/>
    <w:link w:val="FootnoteTextChar"/>
    <w:uiPriority w:val="99"/>
    <w:unhideWhenUsed/>
    <w:rsid w:val="005A2C6C"/>
    <w:rPr>
      <w:sz w:val="20"/>
      <w:szCs w:val="20"/>
    </w:rPr>
  </w:style>
  <w:style w:type="character" w:customStyle="1" w:styleId="FootnoteTextChar">
    <w:name w:val="Footnote Text Char"/>
    <w:basedOn w:val="DefaultParagraphFont"/>
    <w:link w:val="FootnoteText"/>
    <w:uiPriority w:val="99"/>
    <w:rsid w:val="005A2C6C"/>
    <w:rPr>
      <w:rFonts w:ascii="Arial" w:eastAsia="Times New Roman" w:hAnsi="Arial" w:cs="Times New Roman"/>
      <w:sz w:val="20"/>
      <w:szCs w:val="20"/>
    </w:rPr>
  </w:style>
  <w:style w:type="character" w:styleId="FootnoteReference">
    <w:name w:val="footnote reference"/>
    <w:basedOn w:val="DefaultParagraphFont"/>
    <w:uiPriority w:val="99"/>
    <w:unhideWhenUsed/>
    <w:rsid w:val="005A2C6C"/>
    <w:rPr>
      <w:vertAlign w:val="superscript"/>
    </w:rPr>
  </w:style>
  <w:style w:type="paragraph" w:styleId="Header">
    <w:name w:val="header"/>
    <w:basedOn w:val="Normal"/>
    <w:link w:val="HeaderChar"/>
    <w:uiPriority w:val="99"/>
    <w:unhideWhenUsed/>
    <w:rsid w:val="00751A1F"/>
    <w:pPr>
      <w:tabs>
        <w:tab w:val="center" w:pos="4680"/>
        <w:tab w:val="right" w:pos="9360"/>
      </w:tabs>
    </w:pPr>
  </w:style>
  <w:style w:type="character" w:customStyle="1" w:styleId="HeaderChar">
    <w:name w:val="Header Char"/>
    <w:basedOn w:val="DefaultParagraphFont"/>
    <w:link w:val="Header"/>
    <w:uiPriority w:val="99"/>
    <w:rsid w:val="00751A1F"/>
    <w:rPr>
      <w:rFonts w:ascii="Arial" w:eastAsia="Times New Roman" w:hAnsi="Arial" w:cs="Times New Roman"/>
      <w:sz w:val="24"/>
      <w:szCs w:val="24"/>
    </w:rPr>
  </w:style>
  <w:style w:type="paragraph" w:styleId="Footer">
    <w:name w:val="footer"/>
    <w:basedOn w:val="Normal"/>
    <w:link w:val="FooterChar"/>
    <w:uiPriority w:val="99"/>
    <w:unhideWhenUsed/>
    <w:rsid w:val="00751A1F"/>
    <w:pPr>
      <w:tabs>
        <w:tab w:val="center" w:pos="4680"/>
        <w:tab w:val="right" w:pos="9360"/>
      </w:tabs>
    </w:pPr>
  </w:style>
  <w:style w:type="character" w:customStyle="1" w:styleId="FooterChar">
    <w:name w:val="Footer Char"/>
    <w:basedOn w:val="DefaultParagraphFont"/>
    <w:link w:val="Footer"/>
    <w:uiPriority w:val="99"/>
    <w:rsid w:val="00751A1F"/>
    <w:rPr>
      <w:rFonts w:ascii="Arial" w:eastAsia="Times New Roman" w:hAnsi="Arial" w:cs="Times New Roman"/>
      <w:sz w:val="24"/>
      <w:szCs w:val="24"/>
    </w:rPr>
  </w:style>
  <w:style w:type="character" w:customStyle="1" w:styleId="tgc">
    <w:name w:val="_tgc"/>
    <w:basedOn w:val="DefaultParagraphFont"/>
    <w:rsid w:val="00E2707E"/>
  </w:style>
  <w:style w:type="character" w:customStyle="1" w:styleId="citationtext">
    <w:name w:val="citation_text"/>
    <w:basedOn w:val="DefaultParagraphFont"/>
    <w:rsid w:val="00B06FBC"/>
    <w:rPr>
      <w:rFonts w:cs="Times New Roman"/>
    </w:rPr>
  </w:style>
  <w:style w:type="character" w:styleId="Hyperlink">
    <w:name w:val="Hyperlink"/>
    <w:basedOn w:val="DefaultParagraphFont"/>
    <w:uiPriority w:val="99"/>
    <w:rsid w:val="00B06F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C6C"/>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A2C6C"/>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A2C6C"/>
    <w:rPr>
      <w:rFonts w:ascii="Tahoma" w:hAnsi="Tahoma" w:cs="Tahoma"/>
      <w:sz w:val="16"/>
      <w:szCs w:val="16"/>
    </w:rPr>
  </w:style>
  <w:style w:type="character" w:customStyle="1" w:styleId="BalloonTextChar">
    <w:name w:val="Balloon Text Char"/>
    <w:basedOn w:val="DefaultParagraphFont"/>
    <w:link w:val="BalloonText"/>
    <w:uiPriority w:val="99"/>
    <w:semiHidden/>
    <w:rsid w:val="005A2C6C"/>
    <w:rPr>
      <w:rFonts w:ascii="Tahoma" w:eastAsia="Times New Roman" w:hAnsi="Tahoma" w:cs="Tahoma"/>
      <w:sz w:val="16"/>
      <w:szCs w:val="16"/>
    </w:rPr>
  </w:style>
  <w:style w:type="paragraph" w:styleId="EndnoteText">
    <w:name w:val="endnote text"/>
    <w:basedOn w:val="Normal"/>
    <w:link w:val="EndnoteTextChar"/>
    <w:uiPriority w:val="99"/>
    <w:rsid w:val="005A2C6C"/>
    <w:rPr>
      <w:rFonts w:ascii="Times New Roman" w:hAnsi="Times New Roman"/>
      <w:sz w:val="20"/>
      <w:szCs w:val="20"/>
    </w:rPr>
  </w:style>
  <w:style w:type="character" w:customStyle="1" w:styleId="EndnoteTextChar">
    <w:name w:val="Endnote Text Char"/>
    <w:basedOn w:val="DefaultParagraphFont"/>
    <w:link w:val="EndnoteText"/>
    <w:uiPriority w:val="99"/>
    <w:rsid w:val="005A2C6C"/>
    <w:rPr>
      <w:rFonts w:ascii="Times New Roman" w:eastAsia="Times New Roman" w:hAnsi="Times New Roman" w:cs="Times New Roman"/>
      <w:sz w:val="20"/>
      <w:szCs w:val="20"/>
    </w:rPr>
  </w:style>
  <w:style w:type="character" w:styleId="EndnoteReference">
    <w:name w:val="endnote reference"/>
    <w:basedOn w:val="DefaultParagraphFont"/>
    <w:uiPriority w:val="99"/>
    <w:rsid w:val="005A2C6C"/>
    <w:rPr>
      <w:vertAlign w:val="superscript"/>
    </w:rPr>
  </w:style>
  <w:style w:type="paragraph" w:styleId="FootnoteText">
    <w:name w:val="footnote text"/>
    <w:basedOn w:val="Normal"/>
    <w:link w:val="FootnoteTextChar"/>
    <w:uiPriority w:val="99"/>
    <w:unhideWhenUsed/>
    <w:rsid w:val="005A2C6C"/>
    <w:rPr>
      <w:sz w:val="20"/>
      <w:szCs w:val="20"/>
    </w:rPr>
  </w:style>
  <w:style w:type="character" w:customStyle="1" w:styleId="FootnoteTextChar">
    <w:name w:val="Footnote Text Char"/>
    <w:basedOn w:val="DefaultParagraphFont"/>
    <w:link w:val="FootnoteText"/>
    <w:uiPriority w:val="99"/>
    <w:rsid w:val="005A2C6C"/>
    <w:rPr>
      <w:rFonts w:ascii="Arial" w:eastAsia="Times New Roman" w:hAnsi="Arial" w:cs="Times New Roman"/>
      <w:sz w:val="20"/>
      <w:szCs w:val="20"/>
    </w:rPr>
  </w:style>
  <w:style w:type="character" w:styleId="FootnoteReference">
    <w:name w:val="footnote reference"/>
    <w:basedOn w:val="DefaultParagraphFont"/>
    <w:uiPriority w:val="99"/>
    <w:unhideWhenUsed/>
    <w:rsid w:val="005A2C6C"/>
    <w:rPr>
      <w:vertAlign w:val="superscript"/>
    </w:rPr>
  </w:style>
  <w:style w:type="paragraph" w:styleId="Header">
    <w:name w:val="header"/>
    <w:basedOn w:val="Normal"/>
    <w:link w:val="HeaderChar"/>
    <w:uiPriority w:val="99"/>
    <w:unhideWhenUsed/>
    <w:rsid w:val="00751A1F"/>
    <w:pPr>
      <w:tabs>
        <w:tab w:val="center" w:pos="4680"/>
        <w:tab w:val="right" w:pos="9360"/>
      </w:tabs>
    </w:pPr>
  </w:style>
  <w:style w:type="character" w:customStyle="1" w:styleId="HeaderChar">
    <w:name w:val="Header Char"/>
    <w:basedOn w:val="DefaultParagraphFont"/>
    <w:link w:val="Header"/>
    <w:uiPriority w:val="99"/>
    <w:rsid w:val="00751A1F"/>
    <w:rPr>
      <w:rFonts w:ascii="Arial" w:eastAsia="Times New Roman" w:hAnsi="Arial" w:cs="Times New Roman"/>
      <w:sz w:val="24"/>
      <w:szCs w:val="24"/>
    </w:rPr>
  </w:style>
  <w:style w:type="paragraph" w:styleId="Footer">
    <w:name w:val="footer"/>
    <w:basedOn w:val="Normal"/>
    <w:link w:val="FooterChar"/>
    <w:uiPriority w:val="99"/>
    <w:unhideWhenUsed/>
    <w:rsid w:val="00751A1F"/>
    <w:pPr>
      <w:tabs>
        <w:tab w:val="center" w:pos="4680"/>
        <w:tab w:val="right" w:pos="9360"/>
      </w:tabs>
    </w:pPr>
  </w:style>
  <w:style w:type="character" w:customStyle="1" w:styleId="FooterChar">
    <w:name w:val="Footer Char"/>
    <w:basedOn w:val="DefaultParagraphFont"/>
    <w:link w:val="Footer"/>
    <w:uiPriority w:val="99"/>
    <w:rsid w:val="00751A1F"/>
    <w:rPr>
      <w:rFonts w:ascii="Arial" w:eastAsia="Times New Roman" w:hAnsi="Arial" w:cs="Times New Roman"/>
      <w:sz w:val="24"/>
      <w:szCs w:val="24"/>
    </w:rPr>
  </w:style>
  <w:style w:type="character" w:customStyle="1" w:styleId="tgc">
    <w:name w:val="_tgc"/>
    <w:basedOn w:val="DefaultParagraphFont"/>
    <w:rsid w:val="00E2707E"/>
  </w:style>
  <w:style w:type="character" w:customStyle="1" w:styleId="citationtext">
    <w:name w:val="citation_text"/>
    <w:basedOn w:val="DefaultParagraphFont"/>
    <w:rsid w:val="00B06FBC"/>
    <w:rPr>
      <w:rFonts w:cs="Times New Roman"/>
    </w:rPr>
  </w:style>
  <w:style w:type="character" w:styleId="Hyperlink">
    <w:name w:val="Hyperlink"/>
    <w:basedOn w:val="DefaultParagraphFont"/>
    <w:uiPriority w:val="99"/>
    <w:rsid w:val="00B06F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062874">
      <w:bodyDiv w:val="1"/>
      <w:marLeft w:val="0"/>
      <w:marRight w:val="0"/>
      <w:marTop w:val="0"/>
      <w:marBottom w:val="0"/>
      <w:divBdr>
        <w:top w:val="none" w:sz="0" w:space="0" w:color="auto"/>
        <w:left w:val="none" w:sz="0" w:space="0" w:color="auto"/>
        <w:bottom w:val="none" w:sz="0" w:space="0" w:color="auto"/>
        <w:right w:val="none" w:sz="0" w:space="0" w:color="auto"/>
      </w:divBdr>
    </w:div>
    <w:div w:id="1807158767">
      <w:bodyDiv w:val="1"/>
      <w:marLeft w:val="0"/>
      <w:marRight w:val="0"/>
      <w:marTop w:val="0"/>
      <w:marBottom w:val="0"/>
      <w:divBdr>
        <w:top w:val="none" w:sz="0" w:space="0" w:color="auto"/>
        <w:left w:val="none" w:sz="0" w:space="0" w:color="auto"/>
        <w:bottom w:val="none" w:sz="0" w:space="0" w:color="auto"/>
        <w:right w:val="none" w:sz="0" w:space="0" w:color="auto"/>
      </w:divBdr>
    </w:div>
    <w:div w:id="18386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ppc.uiowa.edu/housing/affordability/iow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Housing Cost</a:t>
            </a:r>
            <a:r>
              <a:rPr lang="en-US" sz="1200" baseline="0"/>
              <a:t> Burden</a:t>
            </a:r>
            <a:r>
              <a:rPr lang="en-US" sz="1200"/>
              <a:t> since 1990 in Linn County, Iowa </a:t>
            </a:r>
          </a:p>
        </c:rich>
      </c:tx>
      <c:layout/>
      <c:overlay val="0"/>
    </c:title>
    <c:autoTitleDeleted val="0"/>
    <c:plotArea>
      <c:layout>
        <c:manualLayout>
          <c:layoutTarget val="inner"/>
          <c:xMode val="edge"/>
          <c:yMode val="edge"/>
          <c:x val="9.5347600780671601E-2"/>
          <c:y val="0.15178348056076099"/>
          <c:w val="0.87901137357830295"/>
          <c:h val="0.68995325562268595"/>
        </c:manualLayout>
      </c:layout>
      <c:lineChart>
        <c:grouping val="standard"/>
        <c:varyColors val="0"/>
        <c:ser>
          <c:idx val="0"/>
          <c:order val="0"/>
          <c:tx>
            <c:strRef>
              <c:f>Sheet1!$A$2</c:f>
              <c:strCache>
                <c:ptCount val="1"/>
                <c:pt idx="0">
                  <c:v>Owner</c:v>
                </c:pt>
              </c:strCache>
            </c:strRef>
          </c:tx>
          <c:spPr>
            <a:ln w="38100">
              <a:solidFill>
                <a:srgbClr val="000090"/>
              </a:solidFill>
            </a:ln>
          </c:spPr>
          <c:marker>
            <c:symbol val="none"/>
          </c:marker>
          <c:dLbls>
            <c:dLblPos val="t"/>
            <c:showLegendKey val="0"/>
            <c:showVal val="1"/>
            <c:showCatName val="0"/>
            <c:showSerName val="0"/>
            <c:showPercent val="0"/>
            <c:showBubbleSize val="0"/>
            <c:showLeaderLines val="0"/>
          </c:dLbls>
          <c:cat>
            <c:numRef>
              <c:f>Sheet1!$B$1:$E$1</c:f>
              <c:numCache>
                <c:formatCode>General</c:formatCode>
                <c:ptCount val="4"/>
                <c:pt idx="0">
                  <c:v>1990</c:v>
                </c:pt>
                <c:pt idx="1">
                  <c:v>2000</c:v>
                </c:pt>
                <c:pt idx="2">
                  <c:v>2010</c:v>
                </c:pt>
                <c:pt idx="3">
                  <c:v>2014</c:v>
                </c:pt>
              </c:numCache>
            </c:numRef>
          </c:cat>
          <c:val>
            <c:numRef>
              <c:f>Sheet1!$B$2:$E$2</c:f>
              <c:numCache>
                <c:formatCode>0.0%</c:formatCode>
                <c:ptCount val="4"/>
                <c:pt idx="0">
                  <c:v>0.109</c:v>
                </c:pt>
                <c:pt idx="1">
                  <c:v>0.13300000000000001</c:v>
                </c:pt>
                <c:pt idx="2">
                  <c:v>0.2</c:v>
                </c:pt>
                <c:pt idx="3">
                  <c:v>0.17799999999999999</c:v>
                </c:pt>
              </c:numCache>
            </c:numRef>
          </c:val>
          <c:smooth val="0"/>
        </c:ser>
        <c:ser>
          <c:idx val="1"/>
          <c:order val="1"/>
          <c:tx>
            <c:strRef>
              <c:f>Sheet1!$A$3</c:f>
              <c:strCache>
                <c:ptCount val="1"/>
                <c:pt idx="0">
                  <c:v>Renter </c:v>
                </c:pt>
              </c:strCache>
            </c:strRef>
          </c:tx>
          <c:spPr>
            <a:ln w="38100" cap="flat" cmpd="sng" algn="ctr">
              <a:solidFill>
                <a:schemeClr val="accent6"/>
              </a:solidFill>
              <a:prstDash val="solid"/>
            </a:ln>
            <a:effectLst/>
          </c:spPr>
          <c:marker>
            <c:symbol val="none"/>
          </c:marker>
          <c:dLbls>
            <c:dLblPos val="t"/>
            <c:showLegendKey val="0"/>
            <c:showVal val="1"/>
            <c:showCatName val="0"/>
            <c:showSerName val="0"/>
            <c:showPercent val="0"/>
            <c:showBubbleSize val="0"/>
            <c:showLeaderLines val="0"/>
          </c:dLbls>
          <c:cat>
            <c:numRef>
              <c:f>Sheet1!$B$1:$E$1</c:f>
              <c:numCache>
                <c:formatCode>General</c:formatCode>
                <c:ptCount val="4"/>
                <c:pt idx="0">
                  <c:v>1990</c:v>
                </c:pt>
                <c:pt idx="1">
                  <c:v>2000</c:v>
                </c:pt>
                <c:pt idx="2">
                  <c:v>2010</c:v>
                </c:pt>
                <c:pt idx="3">
                  <c:v>2014</c:v>
                </c:pt>
              </c:numCache>
            </c:numRef>
          </c:cat>
          <c:val>
            <c:numRef>
              <c:f>Sheet1!$B$3:$E$3</c:f>
              <c:numCache>
                <c:formatCode>0.0%</c:formatCode>
                <c:ptCount val="4"/>
                <c:pt idx="0">
                  <c:v>0.32700000000000001</c:v>
                </c:pt>
                <c:pt idx="1">
                  <c:v>0.30499999999999999</c:v>
                </c:pt>
                <c:pt idx="2">
                  <c:v>0.379</c:v>
                </c:pt>
                <c:pt idx="3">
                  <c:v>0.42499999999999999</c:v>
                </c:pt>
              </c:numCache>
            </c:numRef>
          </c:val>
          <c:smooth val="0"/>
        </c:ser>
        <c:dLbls>
          <c:showLegendKey val="0"/>
          <c:showVal val="0"/>
          <c:showCatName val="0"/>
          <c:showSerName val="0"/>
          <c:showPercent val="0"/>
          <c:showBubbleSize val="0"/>
        </c:dLbls>
        <c:marker val="1"/>
        <c:smooth val="0"/>
        <c:axId val="154799488"/>
        <c:axId val="35353728"/>
      </c:lineChart>
      <c:catAx>
        <c:axId val="154799488"/>
        <c:scaling>
          <c:orientation val="minMax"/>
        </c:scaling>
        <c:delete val="0"/>
        <c:axPos val="b"/>
        <c:numFmt formatCode="General" sourceLinked="1"/>
        <c:majorTickMark val="none"/>
        <c:minorTickMark val="none"/>
        <c:tickLblPos val="nextTo"/>
        <c:crossAx val="35353728"/>
        <c:crosses val="autoZero"/>
        <c:auto val="1"/>
        <c:lblAlgn val="ctr"/>
        <c:lblOffset val="100"/>
        <c:noMultiLvlLbl val="0"/>
      </c:catAx>
      <c:valAx>
        <c:axId val="35353728"/>
        <c:scaling>
          <c:orientation val="minMax"/>
        </c:scaling>
        <c:delete val="0"/>
        <c:axPos val="l"/>
        <c:majorGridlines/>
        <c:numFmt formatCode="0.0%" sourceLinked="1"/>
        <c:majorTickMark val="none"/>
        <c:minorTickMark val="none"/>
        <c:tickLblPos val="nextTo"/>
        <c:spPr>
          <a:ln w="9525">
            <a:noFill/>
          </a:ln>
        </c:spPr>
        <c:crossAx val="154799488"/>
        <c:crosses val="autoZero"/>
        <c:crossBetween val="between"/>
        <c:majorUnit val="0.1"/>
      </c:valAx>
      <c:spPr>
        <a:effectLst>
          <a:outerShdw blurRad="50800" dist="38100" dir="2700000" algn="tl" rotWithShape="0">
            <a:prstClr val="black">
              <a:alpha val="40000"/>
            </a:prstClr>
          </a:outerShdw>
        </a:effectLst>
      </c:spPr>
    </c:plotArea>
    <c:legend>
      <c:legendPos val="b"/>
      <c:layout>
        <c:manualLayout>
          <c:xMode val="edge"/>
          <c:yMode val="edge"/>
          <c:x val="0.34572952419409098"/>
          <c:y val="0.913908794675236"/>
          <c:w val="0.295720438791305"/>
          <c:h val="8.6091259118588295E-2"/>
        </c:manualLayout>
      </c:layout>
      <c:overlay val="0"/>
    </c:legend>
    <c:plotVisOnly val="1"/>
    <c:dispBlanksAs val="gap"/>
    <c:showDLblsOverMax val="0"/>
  </c:chart>
  <c:spPr>
    <a:ln>
      <a:solidFill>
        <a:srgbClr val="FFFFFF"/>
      </a:solidFill>
    </a:ln>
  </c:spPr>
  <c:txPr>
    <a:bodyPr/>
    <a:lstStyle/>
    <a:p>
      <a:pPr>
        <a:defRPr>
          <a:latin typeface="Century Gothic"/>
          <a:cs typeface="Century Gothic"/>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78B9A25-548A-4900-9117-9BD35936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UPIC Solutions</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Zitzner</dc:creator>
  <cp:lastModifiedBy>Ashley Zitzner</cp:lastModifiedBy>
  <cp:revision>4</cp:revision>
  <dcterms:created xsi:type="dcterms:W3CDTF">2016-10-24T12:53:00Z</dcterms:created>
  <dcterms:modified xsi:type="dcterms:W3CDTF">2016-10-24T12:54:00Z</dcterms:modified>
</cp:coreProperties>
</file>